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F1D6" w14:textId="77777777" w:rsidR="00B55CB8" w:rsidRDefault="00B55CB8" w:rsidP="00977B5B">
      <w:pPr>
        <w:rPr>
          <w:rFonts w:ascii="Times New Roman" w:eastAsia="Times New Roman" w:hAnsi="Times New Roman" w:cs="Times New Roman"/>
        </w:rPr>
      </w:pPr>
      <w:r>
        <w:rPr>
          <w:rFonts w:ascii="Times New Roman" w:eastAsia="Times New Roman" w:hAnsi="Times New Roman" w:cs="Times New Roman"/>
        </w:rPr>
        <w:t xml:space="preserve">2016 Budget </w:t>
      </w:r>
    </w:p>
    <w:p w14:paraId="766156B6" w14:textId="77777777" w:rsidR="00EA7F78" w:rsidRPr="00EA7F78" w:rsidRDefault="00EA7F78" w:rsidP="00EA7F78">
      <w:pPr>
        <w:rPr>
          <w:rFonts w:ascii="Times New Roman" w:eastAsia="Times New Roman" w:hAnsi="Times New Roman" w:cs="Times New Roman"/>
        </w:rPr>
      </w:pPr>
      <w:r w:rsidRPr="00EA7F78">
        <w:rPr>
          <w:rFonts w:ascii="Georgia" w:eastAsia="Times New Roman" w:hAnsi="Georgia" w:cs="Times New Roman"/>
          <w:color w:val="000000"/>
        </w:rPr>
        <w:t>The Federal Government proposed a budget of N6.08 trillion for 2016, with an interesting split of 70:30 between recurrent and capital expenditure. This is a bold step with the increase in capital expenditure from N557 billion in 2015 to N1.8 trillion in the 2016 budget. Capital expenditure is not just 30% of the budget, but represents an increase of 223% over prior year budget.</w:t>
      </w:r>
    </w:p>
    <w:p w14:paraId="0F487842" w14:textId="77777777" w:rsidR="00B55CB8" w:rsidRDefault="00EA7F78" w:rsidP="00977B5B">
      <w:pPr>
        <w:rPr>
          <w:rFonts w:ascii="Times New Roman" w:eastAsia="Times New Roman" w:hAnsi="Times New Roman" w:cs="Times New Roman"/>
        </w:rPr>
      </w:pPr>
      <w:r>
        <w:rPr>
          <w:rFonts w:ascii="Times New Roman" w:eastAsia="Times New Roman" w:hAnsi="Times New Roman" w:cs="Times New Roman"/>
        </w:rPr>
        <w:t xml:space="preserve">   </w:t>
      </w:r>
    </w:p>
    <w:p w14:paraId="6A3A446E" w14:textId="77777777" w:rsidR="00EA7F78" w:rsidRDefault="00EA7F78" w:rsidP="00977B5B">
      <w:pPr>
        <w:rPr>
          <w:rFonts w:ascii="Times New Roman" w:eastAsia="Times New Roman" w:hAnsi="Times New Roman" w:cs="Times New Roman"/>
        </w:rPr>
      </w:pPr>
    </w:p>
    <w:p w14:paraId="5860229A" w14:textId="30FE42D3" w:rsidR="00EA7F78" w:rsidRPr="00C744E1" w:rsidRDefault="00EA7F78" w:rsidP="00977B5B">
      <w:pPr>
        <w:rPr>
          <w:rFonts w:ascii="Times New Roman" w:eastAsia="Times New Roman" w:hAnsi="Times New Roman" w:cs="Times New Roman"/>
          <w:b/>
          <w:sz w:val="28"/>
          <w:szCs w:val="28"/>
        </w:rPr>
      </w:pPr>
      <w:r w:rsidRPr="00C744E1">
        <w:rPr>
          <w:rFonts w:ascii="Times New Roman" w:eastAsia="Times New Roman" w:hAnsi="Times New Roman" w:cs="Times New Roman"/>
          <w:b/>
          <w:sz w:val="28"/>
          <w:szCs w:val="28"/>
        </w:rPr>
        <w:t>Increasing Debt Burden</w:t>
      </w:r>
    </w:p>
    <w:p w14:paraId="7B1C4456" w14:textId="3F70D890" w:rsidR="00FA78EF" w:rsidRDefault="00416379" w:rsidP="00FA78EF">
      <w:pPr>
        <w:pStyle w:val="NormalWeb"/>
        <w:spacing w:before="0" w:beforeAutospacing="0" w:after="288" w:afterAutospacing="0" w:line="432" w:lineRule="atLeast"/>
        <w:rPr>
          <w:rFonts w:ascii="Georgia" w:hAnsi="Georgia"/>
          <w:color w:val="000000"/>
        </w:rPr>
      </w:pPr>
      <w:r>
        <w:rPr>
          <w:rFonts w:ascii="Georgia" w:hAnsi="Georgia"/>
          <w:color w:val="000000"/>
        </w:rPr>
        <w:t>Revenue projection for 2016 was</w:t>
      </w:r>
      <w:r w:rsidR="00FA78EF">
        <w:rPr>
          <w:rFonts w:ascii="Georgia" w:hAnsi="Georgia"/>
          <w:color w:val="000000"/>
        </w:rPr>
        <w:t xml:space="preserve"> N3.86 trillion, with a deficit </w:t>
      </w:r>
      <w:r w:rsidR="00753443">
        <w:rPr>
          <w:rFonts w:ascii="Georgia" w:hAnsi="Georgia"/>
          <w:color w:val="000000"/>
        </w:rPr>
        <w:t xml:space="preserve">encumbrance </w:t>
      </w:r>
      <w:r w:rsidR="00FA78EF">
        <w:rPr>
          <w:rFonts w:ascii="Georgia" w:hAnsi="Georgia"/>
          <w:color w:val="000000"/>
        </w:rPr>
        <w:t>of N2.22 trillion</w:t>
      </w:r>
      <w:r w:rsidR="001713BA">
        <w:rPr>
          <w:rFonts w:ascii="Georgia" w:hAnsi="Georgia"/>
          <w:color w:val="000000"/>
        </w:rPr>
        <w:t xml:space="preserve"> representing </w:t>
      </w:r>
      <w:r w:rsidR="00337D4B">
        <w:rPr>
          <w:rFonts w:ascii="Georgia" w:hAnsi="Georgia"/>
          <w:color w:val="000000"/>
        </w:rPr>
        <w:t>57.5 percent</w:t>
      </w:r>
      <w:r w:rsidR="00FA78EF">
        <w:rPr>
          <w:rFonts w:ascii="Georgia" w:hAnsi="Georgia"/>
          <w:color w:val="000000"/>
        </w:rPr>
        <w:t xml:space="preserve">. </w:t>
      </w:r>
      <w:bookmarkStart w:id="0" w:name="_GoBack"/>
      <w:bookmarkEnd w:id="0"/>
      <w:r w:rsidR="00FA78EF">
        <w:rPr>
          <w:rFonts w:ascii="Georgia" w:hAnsi="Georgia"/>
          <w:color w:val="000000"/>
        </w:rPr>
        <w:t>It may be appropriate to state that the level of borrowing is not the real issue but the purpose for which the debts are procured and judicious utilization. The deficit is about 2.16% of Nigeria’s GDP and will take Nigeria’s overall debt profile to 14% of GDP.</w:t>
      </w:r>
    </w:p>
    <w:p w14:paraId="067681A5" w14:textId="77777777" w:rsidR="00FA78EF" w:rsidRDefault="00FA78EF" w:rsidP="00FA78EF">
      <w:pPr>
        <w:pStyle w:val="NormalWeb"/>
        <w:spacing w:before="0" w:beforeAutospacing="0" w:after="288" w:afterAutospacing="0" w:line="432" w:lineRule="atLeast"/>
        <w:rPr>
          <w:rFonts w:ascii="Georgia" w:hAnsi="Georgia"/>
          <w:color w:val="000000"/>
        </w:rPr>
      </w:pPr>
      <w:r>
        <w:rPr>
          <w:rFonts w:ascii="Georgia" w:hAnsi="Georgia"/>
          <w:color w:val="000000"/>
        </w:rPr>
        <w:t>To finance the deficit, government intends to borrow a total of N1.84 trillion from within and outside the country. Domestic and foreign borrowings are projected at N984 billion and N900 billion respectively. All of the borrowings are said to have been earmarked for financing capital projects.</w:t>
      </w:r>
    </w:p>
    <w:p w14:paraId="0B5847B9" w14:textId="77777777" w:rsidR="00EA7F78" w:rsidRDefault="000D1558" w:rsidP="00977B5B">
      <w:pPr>
        <w:rPr>
          <w:rFonts w:ascii="Times New Roman" w:eastAsia="Times New Roman" w:hAnsi="Times New Roman" w:cs="Times New Roman"/>
        </w:rPr>
      </w:pPr>
      <w:r>
        <w:rPr>
          <w:rFonts w:ascii="Times New Roman" w:eastAsia="Times New Roman" w:hAnsi="Times New Roman" w:cs="Times New Roman"/>
        </w:rPr>
        <w:tab/>
      </w:r>
      <w:r w:rsidR="00EA7F78">
        <w:rPr>
          <w:rFonts w:ascii="Times New Roman" w:eastAsia="Times New Roman" w:hAnsi="Times New Roman" w:cs="Times New Roman"/>
        </w:rPr>
        <w:t xml:space="preserve"> </w:t>
      </w:r>
    </w:p>
    <w:p w14:paraId="54C44133" w14:textId="77777777" w:rsidR="00F53B1D" w:rsidRPr="00C744E1" w:rsidRDefault="00977B5B" w:rsidP="00C744E1">
      <w:pPr>
        <w:spacing w:line="276" w:lineRule="auto"/>
        <w:rPr>
          <w:rFonts w:eastAsia="Times New Roman" w:cs="Times New Roman"/>
        </w:rPr>
      </w:pPr>
      <w:r w:rsidRPr="00C744E1">
        <w:rPr>
          <w:rFonts w:eastAsia="Times New Roman" w:cs="Times New Roman"/>
        </w:rPr>
        <w:t>R</w:t>
      </w:r>
      <w:r w:rsidRPr="00977B5B">
        <w:rPr>
          <w:rFonts w:eastAsia="Times New Roman" w:cs="Times New Roman"/>
        </w:rPr>
        <w:t xml:space="preserve">evenue from oil is the major growth factor in the Nigerian economy. </w:t>
      </w:r>
      <w:r w:rsidRPr="00C744E1">
        <w:rPr>
          <w:rFonts w:eastAsia="Times New Roman" w:cs="Times New Roman"/>
        </w:rPr>
        <w:t xml:space="preserve">Virtually all capital projects in the country are funded from resources generated from oil. </w:t>
      </w:r>
      <w:r w:rsidRPr="00977B5B">
        <w:rPr>
          <w:rFonts w:eastAsia="Times New Roman" w:cs="Times New Roman"/>
        </w:rPr>
        <w:t xml:space="preserve">The </w:t>
      </w:r>
      <w:r w:rsidR="006116D2" w:rsidRPr="00C744E1">
        <w:rPr>
          <w:rFonts w:eastAsia="Times New Roman" w:cs="Times New Roman"/>
        </w:rPr>
        <w:t xml:space="preserve">fall in the price of oil has always </w:t>
      </w:r>
      <w:r w:rsidRPr="00977B5B">
        <w:rPr>
          <w:rFonts w:eastAsia="Times New Roman" w:cs="Times New Roman"/>
        </w:rPr>
        <w:t>impact</w:t>
      </w:r>
      <w:r w:rsidR="006116D2" w:rsidRPr="00C744E1">
        <w:rPr>
          <w:rFonts w:eastAsia="Times New Roman" w:cs="Times New Roman"/>
        </w:rPr>
        <w:t>ed on the monolithic economy like Nigeria in th</w:t>
      </w:r>
      <w:r w:rsidR="00A57502" w:rsidRPr="00C744E1">
        <w:rPr>
          <w:rFonts w:eastAsia="Times New Roman" w:cs="Times New Roman"/>
        </w:rPr>
        <w:t>e past and 2016 is no exemption</w:t>
      </w:r>
      <w:r w:rsidR="006116D2" w:rsidRPr="00C744E1">
        <w:rPr>
          <w:rFonts w:eastAsia="Times New Roman" w:cs="Times New Roman"/>
        </w:rPr>
        <w:t xml:space="preserve">. Economists have always called for </w:t>
      </w:r>
      <w:r w:rsidRPr="00977B5B">
        <w:rPr>
          <w:rFonts w:eastAsia="Times New Roman" w:cs="Times New Roman"/>
        </w:rPr>
        <w:t xml:space="preserve">Nigeria state to look inwards amidst the abundance of its untapped natural resources to diversify the economy of the nation, and increase export with a view to checkmating the insidious impact of the oil price fall on the economy. </w:t>
      </w:r>
      <w:r w:rsidR="00113305" w:rsidRPr="00C744E1">
        <w:rPr>
          <w:rFonts w:eastAsia="Times New Roman" w:cs="Times New Roman"/>
        </w:rPr>
        <w:t xml:space="preserve">Impressively, </w:t>
      </w:r>
      <w:r w:rsidR="001B656E" w:rsidRPr="00C744E1">
        <w:rPr>
          <w:rFonts w:eastAsia="Times New Roman" w:cs="Times New Roman"/>
        </w:rPr>
        <w:t>however</w:t>
      </w:r>
      <w:r w:rsidR="007F7220" w:rsidRPr="00C744E1">
        <w:rPr>
          <w:rFonts w:eastAsia="Times New Roman" w:cs="Times New Roman"/>
        </w:rPr>
        <w:t xml:space="preserve"> </w:t>
      </w:r>
      <w:r w:rsidR="00113305" w:rsidRPr="00C744E1">
        <w:rPr>
          <w:rFonts w:eastAsia="Times New Roman" w:cs="Times New Roman"/>
        </w:rPr>
        <w:t>for the first time in many years, a</w:t>
      </w:r>
      <w:r w:rsidR="00DD3C2B" w:rsidRPr="00C744E1">
        <w:rPr>
          <w:rFonts w:eastAsia="Times New Roman" w:cs="Times New Roman"/>
        </w:rPr>
        <w:t xml:space="preserve"> </w:t>
      </w:r>
      <w:r w:rsidR="00113305" w:rsidRPr="00C744E1">
        <w:rPr>
          <w:rFonts w:eastAsia="Times New Roman" w:cs="Times New Roman"/>
        </w:rPr>
        <w:t xml:space="preserve">high ratio was proposed and expected from non-oil </w:t>
      </w:r>
      <w:r w:rsidR="00940AA2" w:rsidRPr="00C744E1">
        <w:rPr>
          <w:rFonts w:eastAsia="Times New Roman" w:cs="Times New Roman"/>
        </w:rPr>
        <w:t xml:space="preserve">sector. </w:t>
      </w:r>
      <w:r w:rsidR="00D23B7A" w:rsidRPr="00C744E1">
        <w:rPr>
          <w:rFonts w:eastAsia="Times New Roman" w:cs="Times New Roman"/>
        </w:rPr>
        <w:t xml:space="preserve">The </w:t>
      </w:r>
      <w:r w:rsidR="0054210D" w:rsidRPr="00C744E1">
        <w:rPr>
          <w:rFonts w:eastAsia="Times New Roman" w:cs="Times New Roman"/>
        </w:rPr>
        <w:t>sum of N</w:t>
      </w:r>
      <w:r w:rsidR="00AA4E6D" w:rsidRPr="00C744E1">
        <w:rPr>
          <w:rFonts w:eastAsia="Times New Roman" w:cs="Times New Roman"/>
        </w:rPr>
        <w:t xml:space="preserve"> </w:t>
      </w:r>
      <w:r w:rsidR="00AA4E6D" w:rsidRPr="00C744E1">
        <w:rPr>
          <w:rFonts w:eastAsia="Times New Roman" w:cs="Times New Roman"/>
        </w:rPr>
        <w:t>1</w:t>
      </w:r>
      <w:r w:rsidR="00AA4E6D" w:rsidRPr="00C744E1">
        <w:rPr>
          <w:rFonts w:eastAsia="Times New Roman" w:cs="Times New Roman"/>
        </w:rPr>
        <w:t>.54trilion</w:t>
      </w:r>
      <w:r w:rsidR="0054210D" w:rsidRPr="00C744E1">
        <w:rPr>
          <w:rFonts w:eastAsia="Times New Roman" w:cs="Times New Roman"/>
        </w:rPr>
        <w:t xml:space="preserve"> representing 38 percent </w:t>
      </w:r>
      <w:r w:rsidR="00DD3C2B" w:rsidRPr="00C744E1">
        <w:rPr>
          <w:rFonts w:eastAsia="Times New Roman" w:cs="Times New Roman"/>
        </w:rPr>
        <w:t xml:space="preserve">was proposed as </w:t>
      </w:r>
      <w:r w:rsidR="0054210D" w:rsidRPr="00C744E1">
        <w:rPr>
          <w:rFonts w:eastAsia="Times New Roman" w:cs="Times New Roman"/>
        </w:rPr>
        <w:t xml:space="preserve">revenue from </w:t>
      </w:r>
      <w:r w:rsidR="00AA4E6D" w:rsidRPr="00C744E1">
        <w:rPr>
          <w:rFonts w:eastAsia="Times New Roman" w:cs="Times New Roman"/>
        </w:rPr>
        <w:t>non-oil sources</w:t>
      </w:r>
      <w:r w:rsidR="00DD3C2B" w:rsidRPr="00C744E1">
        <w:rPr>
          <w:rFonts w:eastAsia="Times New Roman" w:cs="Times New Roman"/>
        </w:rPr>
        <w:t>, an improvement of 26.5 percent over 2015 year on year record of N1.21trillion.</w:t>
      </w:r>
      <w:r w:rsidR="0054210D" w:rsidRPr="00C744E1">
        <w:rPr>
          <w:rFonts w:eastAsia="Times New Roman" w:cs="Times New Roman"/>
        </w:rPr>
        <w:t xml:space="preserve"> N1.51trillion </w:t>
      </w:r>
      <w:r w:rsidR="001B656E" w:rsidRPr="00C744E1">
        <w:rPr>
          <w:rFonts w:eastAsia="Times New Roman" w:cs="Times New Roman"/>
        </w:rPr>
        <w:t xml:space="preserve">representing </w:t>
      </w:r>
      <w:r w:rsidR="001B656E" w:rsidRPr="00C744E1">
        <w:rPr>
          <w:rFonts w:eastAsia="Times New Roman" w:cs="Times New Roman"/>
        </w:rPr>
        <w:t xml:space="preserve">39 percent </w:t>
      </w:r>
      <w:r w:rsidR="0054210D" w:rsidRPr="00C744E1">
        <w:rPr>
          <w:rFonts w:eastAsia="Times New Roman" w:cs="Times New Roman"/>
        </w:rPr>
        <w:t xml:space="preserve">from other independent </w:t>
      </w:r>
      <w:r w:rsidR="00DD3C2B" w:rsidRPr="00C744E1">
        <w:rPr>
          <w:rFonts w:eastAsia="Times New Roman" w:cs="Times New Roman"/>
        </w:rPr>
        <w:t>was</w:t>
      </w:r>
      <w:r w:rsidR="001B656E" w:rsidRPr="00C744E1">
        <w:rPr>
          <w:rFonts w:eastAsia="Times New Roman" w:cs="Times New Roman"/>
        </w:rPr>
        <w:t xml:space="preserve"> also expected to fund the budget. </w:t>
      </w:r>
      <w:r w:rsidR="00DD3C2B" w:rsidRPr="00C744E1">
        <w:rPr>
          <w:rFonts w:eastAsia="Times New Roman" w:cs="Times New Roman"/>
        </w:rPr>
        <w:t xml:space="preserve">This was a landmark 163.6 percent </w:t>
      </w:r>
      <w:r w:rsidR="00B66BD6" w:rsidRPr="00C744E1">
        <w:rPr>
          <w:rFonts w:eastAsia="Times New Roman" w:cs="Times New Roman"/>
        </w:rPr>
        <w:t xml:space="preserve">increase </w:t>
      </w:r>
      <w:r w:rsidR="00DD3C2B" w:rsidRPr="00C744E1">
        <w:rPr>
          <w:rFonts w:eastAsia="Times New Roman" w:cs="Times New Roman"/>
        </w:rPr>
        <w:t xml:space="preserve">over the </w:t>
      </w:r>
      <w:r w:rsidR="00B66BD6" w:rsidRPr="00C744E1">
        <w:rPr>
          <w:rFonts w:eastAsia="Times New Roman" w:cs="Times New Roman"/>
        </w:rPr>
        <w:t>same</w:t>
      </w:r>
      <w:r w:rsidR="00DD3C2B" w:rsidRPr="00C744E1">
        <w:rPr>
          <w:rFonts w:eastAsia="Times New Roman" w:cs="Times New Roman"/>
        </w:rPr>
        <w:t xml:space="preserve"> budget </w:t>
      </w:r>
      <w:r w:rsidR="00D22B59" w:rsidRPr="00C744E1">
        <w:rPr>
          <w:rFonts w:eastAsia="Times New Roman" w:cs="Times New Roman"/>
        </w:rPr>
        <w:t xml:space="preserve">for 2015. The promise </w:t>
      </w:r>
      <w:r w:rsidR="001B656E" w:rsidRPr="00C744E1">
        <w:rPr>
          <w:rFonts w:eastAsia="Times New Roman" w:cs="Times New Roman"/>
        </w:rPr>
        <w:t>to revamp the agricultural sector so as boost food security a</w:t>
      </w:r>
      <w:r w:rsidR="00AE3A5D" w:rsidRPr="00C744E1">
        <w:rPr>
          <w:rFonts w:eastAsia="Times New Roman" w:cs="Times New Roman"/>
        </w:rPr>
        <w:t xml:space="preserve">nd also establish it as </w:t>
      </w:r>
      <w:r w:rsidR="001B656E" w:rsidRPr="00C744E1">
        <w:rPr>
          <w:rFonts w:eastAsia="Times New Roman" w:cs="Times New Roman"/>
        </w:rPr>
        <w:t>replacement as oil as the biggest source of rev</w:t>
      </w:r>
      <w:r w:rsidR="00D22B59" w:rsidRPr="00C744E1">
        <w:rPr>
          <w:rFonts w:eastAsia="Times New Roman" w:cs="Times New Roman"/>
        </w:rPr>
        <w:t>enue received</w:t>
      </w:r>
      <w:r w:rsidR="001B656E" w:rsidRPr="00C744E1">
        <w:rPr>
          <w:rFonts w:eastAsia="Times New Roman" w:cs="Times New Roman"/>
        </w:rPr>
        <w:t xml:space="preserve"> </w:t>
      </w:r>
      <w:r w:rsidR="00D22B59" w:rsidRPr="00C744E1">
        <w:rPr>
          <w:rFonts w:eastAsia="Times New Roman" w:cs="Times New Roman"/>
        </w:rPr>
        <w:t>improved</w:t>
      </w:r>
      <w:r w:rsidR="001B656E" w:rsidRPr="00C744E1">
        <w:rPr>
          <w:rFonts w:eastAsia="Times New Roman" w:cs="Times New Roman"/>
        </w:rPr>
        <w:t xml:space="preserve"> </w:t>
      </w:r>
      <w:r w:rsidR="00D22B59" w:rsidRPr="00C744E1">
        <w:rPr>
          <w:rFonts w:eastAsia="Times New Roman" w:cs="Times New Roman"/>
        </w:rPr>
        <w:t xml:space="preserve">funding for 2016. The summary for critical ministries is depicted in the chart below. </w:t>
      </w:r>
    </w:p>
    <w:p w14:paraId="080615D3" w14:textId="77777777" w:rsidR="007F7220" w:rsidRDefault="00F53B1D" w:rsidP="00AA4E6D">
      <w:pPr>
        <w:rPr>
          <w:rFonts w:ascii="Times New Roman" w:eastAsia="Times New Roman" w:hAnsi="Times New Roman" w:cs="Times New Roman"/>
        </w:rPr>
      </w:pPr>
      <w:r>
        <w:rPr>
          <w:noProof/>
        </w:rPr>
        <w:lastRenderedPageBreak/>
        <w:drawing>
          <wp:inline distT="0" distB="0" distL="0" distR="0" wp14:anchorId="059BD3C6" wp14:editId="4618058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C800063" w14:textId="55CB01E5" w:rsidR="009E456A" w:rsidRPr="00F842FB" w:rsidRDefault="00977B5B" w:rsidP="00C744E1">
      <w:pPr>
        <w:pStyle w:val="NormalWeb"/>
        <w:spacing w:before="0" w:beforeAutospacing="0" w:after="240" w:afterAutospacing="0" w:line="276" w:lineRule="auto"/>
        <w:jc w:val="both"/>
        <w:rPr>
          <w:rFonts w:eastAsia="Times New Roman"/>
        </w:rPr>
      </w:pPr>
      <w:r>
        <w:t xml:space="preserve">Escalating </w:t>
      </w:r>
      <w:r w:rsidR="005C1F8E">
        <w:t xml:space="preserve">commodity prices </w:t>
      </w:r>
      <w:r w:rsidR="00FE7225">
        <w:t xml:space="preserve">and a </w:t>
      </w:r>
      <w:r w:rsidR="00FE7225" w:rsidRPr="008043F5">
        <w:rPr>
          <w:rFonts w:eastAsia="Times New Roman"/>
        </w:rPr>
        <w:t xml:space="preserve">deepening </w:t>
      </w:r>
      <w:r w:rsidR="005906E4" w:rsidRPr="008043F5">
        <w:rPr>
          <w:rFonts w:eastAsia="Times New Roman"/>
        </w:rPr>
        <w:t xml:space="preserve">value of the naira </w:t>
      </w:r>
      <w:r w:rsidR="005576DE" w:rsidRPr="008043F5">
        <w:rPr>
          <w:rFonts w:eastAsia="Times New Roman"/>
        </w:rPr>
        <w:t xml:space="preserve">against </w:t>
      </w:r>
      <w:r w:rsidR="00395DB5" w:rsidRPr="008043F5">
        <w:rPr>
          <w:rFonts w:eastAsia="Times New Roman"/>
        </w:rPr>
        <w:t xml:space="preserve">the other international currencies are part of the brunt that consumers have to bear. Not only have prices of imported goods soared, </w:t>
      </w:r>
      <w:r w:rsidR="00395DB5" w:rsidRPr="00204EA5">
        <w:rPr>
          <w:rFonts w:eastAsia="Times New Roman"/>
        </w:rPr>
        <w:t xml:space="preserve">even </w:t>
      </w:r>
      <w:r w:rsidR="005E5F17">
        <w:rPr>
          <w:rFonts w:eastAsia="Times New Roman"/>
        </w:rPr>
        <w:t xml:space="preserve">locally manufactured </w:t>
      </w:r>
      <w:r w:rsidR="00204EA5" w:rsidRPr="00204EA5">
        <w:rPr>
          <w:rFonts w:eastAsia="Times New Roman"/>
        </w:rPr>
        <w:t>household goods and consumables</w:t>
      </w:r>
      <w:r w:rsidR="00204EA5" w:rsidRPr="008043F5">
        <w:rPr>
          <w:rFonts w:eastAsia="Times New Roman"/>
        </w:rPr>
        <w:t xml:space="preserve"> </w:t>
      </w:r>
      <w:r w:rsidR="00395DB5" w:rsidRPr="00204EA5">
        <w:rPr>
          <w:rFonts w:eastAsia="Times New Roman"/>
        </w:rPr>
        <w:t xml:space="preserve">have seen their prices hit the </w:t>
      </w:r>
      <w:r w:rsidR="00FC0657" w:rsidRPr="00204EA5">
        <w:rPr>
          <w:rFonts w:eastAsia="Times New Roman"/>
        </w:rPr>
        <w:t xml:space="preserve">roof </w:t>
      </w:r>
      <w:r w:rsidR="000B1E7C" w:rsidRPr="00204EA5">
        <w:rPr>
          <w:rFonts w:eastAsia="Times New Roman"/>
        </w:rPr>
        <w:t>and out of reach for the generality of the people.</w:t>
      </w:r>
      <w:r w:rsidR="00204EA5" w:rsidRPr="00204EA5">
        <w:rPr>
          <w:rFonts w:eastAsia="Times New Roman"/>
        </w:rPr>
        <w:t xml:space="preserve"> </w:t>
      </w:r>
      <w:r w:rsidR="008043F5">
        <w:rPr>
          <w:rFonts w:eastAsia="Times New Roman"/>
        </w:rPr>
        <w:t xml:space="preserve">The </w:t>
      </w:r>
      <w:r w:rsidR="008043F5" w:rsidRPr="008043F5">
        <w:rPr>
          <w:rFonts w:eastAsia="Times New Roman"/>
        </w:rPr>
        <w:t>overwhelming burden of Islamic insurgency, spearheaded by Boko Haram, the violent terrorist group causing havoc across the country’s North East area</w:t>
      </w:r>
      <w:r w:rsidR="00F842FB">
        <w:rPr>
          <w:rFonts w:eastAsia="Times New Roman"/>
        </w:rPr>
        <w:t xml:space="preserve">, transportation, climate change </w:t>
      </w:r>
      <w:proofErr w:type="gramStart"/>
      <w:r w:rsidR="00F842FB">
        <w:rPr>
          <w:rFonts w:eastAsia="Times New Roman"/>
        </w:rPr>
        <w:t>are</w:t>
      </w:r>
      <w:proofErr w:type="gramEnd"/>
      <w:r w:rsidR="00F842FB">
        <w:rPr>
          <w:rFonts w:eastAsia="Times New Roman"/>
        </w:rPr>
        <w:t xml:space="preserve"> other reason attributed for the rise, especially of the prices of domestic product. </w:t>
      </w:r>
      <w:r w:rsidR="00204EA5" w:rsidRPr="00204EA5">
        <w:rPr>
          <w:rFonts w:eastAsia="Times New Roman"/>
        </w:rPr>
        <w:t>Despite desperate measures taken by the Central Bank of Nigeria (CBN) to put strategic monetary policies in place, the prices continued in its steady rise throughout the country</w:t>
      </w:r>
      <w:r w:rsidR="00204EA5">
        <w:rPr>
          <w:rFonts w:eastAsia="Times New Roman"/>
        </w:rPr>
        <w:t xml:space="preserve"> just as the value </w:t>
      </w:r>
      <w:r w:rsidR="00416379">
        <w:rPr>
          <w:rFonts w:eastAsia="Times New Roman"/>
        </w:rPr>
        <w:t xml:space="preserve">of </w:t>
      </w:r>
      <w:r w:rsidR="00204EA5">
        <w:rPr>
          <w:rFonts w:eastAsia="Times New Roman"/>
        </w:rPr>
        <w:t xml:space="preserve">naira continues to stumble. In January 2016 </w:t>
      </w:r>
      <w:r w:rsidR="000150AE">
        <w:rPr>
          <w:rFonts w:eastAsia="Times New Roman"/>
        </w:rPr>
        <w:t xml:space="preserve">the exchange rate averaged about N199 to the dollar but by the end of the third quarter, the naira had fallen to </w:t>
      </w:r>
      <w:r w:rsidR="00A05DFE">
        <w:rPr>
          <w:rFonts w:eastAsia="Times New Roman"/>
        </w:rPr>
        <w:t xml:space="preserve">N311 naira against the dollar, a </w:t>
      </w:r>
      <w:r w:rsidR="0051644A">
        <w:rPr>
          <w:rFonts w:eastAsia="Times New Roman"/>
        </w:rPr>
        <w:t>64 percent reduction</w:t>
      </w:r>
      <w:sdt>
        <w:sdtPr>
          <w:rPr>
            <w:rFonts w:eastAsia="Times New Roman"/>
          </w:rPr>
          <w:id w:val="-1492943995"/>
          <w:citation/>
        </w:sdtPr>
        <w:sdtContent>
          <w:r w:rsidR="00961101">
            <w:rPr>
              <w:rFonts w:eastAsia="Times New Roman"/>
            </w:rPr>
            <w:fldChar w:fldCharType="begin"/>
          </w:r>
          <w:r w:rsidR="00961101">
            <w:rPr>
              <w:rFonts w:eastAsia="Times New Roman"/>
            </w:rPr>
            <w:instrText xml:space="preserve"> CITATION Pou17 \l 1033 </w:instrText>
          </w:r>
          <w:r w:rsidR="00961101">
            <w:rPr>
              <w:rFonts w:eastAsia="Times New Roman"/>
            </w:rPr>
            <w:fldChar w:fldCharType="separate"/>
          </w:r>
          <w:r w:rsidR="00270F8C">
            <w:rPr>
              <w:rFonts w:eastAsia="Times New Roman"/>
              <w:noProof/>
            </w:rPr>
            <w:t xml:space="preserve"> [1]</w:t>
          </w:r>
          <w:r w:rsidR="00961101">
            <w:rPr>
              <w:rFonts w:eastAsia="Times New Roman"/>
            </w:rPr>
            <w:fldChar w:fldCharType="end"/>
          </w:r>
        </w:sdtContent>
      </w:sdt>
      <w:r w:rsidR="00F842FB">
        <w:rPr>
          <w:rFonts w:eastAsia="Times New Roman"/>
        </w:rPr>
        <w:t xml:space="preserve">. </w:t>
      </w:r>
    </w:p>
    <w:sectPr w:rsidR="009E456A" w:rsidRPr="00F842FB" w:rsidSect="00512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5B"/>
    <w:rsid w:val="000150AE"/>
    <w:rsid w:val="00051CC6"/>
    <w:rsid w:val="000B1E7C"/>
    <w:rsid w:val="000D1558"/>
    <w:rsid w:val="00113305"/>
    <w:rsid w:val="001713BA"/>
    <w:rsid w:val="001B656E"/>
    <w:rsid w:val="00204EA5"/>
    <w:rsid w:val="00207AB1"/>
    <w:rsid w:val="00270F8C"/>
    <w:rsid w:val="00337D4B"/>
    <w:rsid w:val="00364DC0"/>
    <w:rsid w:val="00395DB5"/>
    <w:rsid w:val="00416379"/>
    <w:rsid w:val="00472ED7"/>
    <w:rsid w:val="00512BAF"/>
    <w:rsid w:val="0051644A"/>
    <w:rsid w:val="0054210D"/>
    <w:rsid w:val="005576DE"/>
    <w:rsid w:val="005906E4"/>
    <w:rsid w:val="005C1F8E"/>
    <w:rsid w:val="005E5F17"/>
    <w:rsid w:val="006116D2"/>
    <w:rsid w:val="00753443"/>
    <w:rsid w:val="007F37C3"/>
    <w:rsid w:val="007F7220"/>
    <w:rsid w:val="008043F5"/>
    <w:rsid w:val="008A6591"/>
    <w:rsid w:val="008E5D72"/>
    <w:rsid w:val="009327EB"/>
    <w:rsid w:val="00940AA2"/>
    <w:rsid w:val="00961101"/>
    <w:rsid w:val="00977B5B"/>
    <w:rsid w:val="009B3BB8"/>
    <w:rsid w:val="009E456A"/>
    <w:rsid w:val="00A05DFE"/>
    <w:rsid w:val="00A57502"/>
    <w:rsid w:val="00AA4E6D"/>
    <w:rsid w:val="00AE3A5D"/>
    <w:rsid w:val="00B55CB8"/>
    <w:rsid w:val="00B66BD6"/>
    <w:rsid w:val="00C744E1"/>
    <w:rsid w:val="00CA2EC5"/>
    <w:rsid w:val="00CE1EE0"/>
    <w:rsid w:val="00D22B59"/>
    <w:rsid w:val="00D23B7A"/>
    <w:rsid w:val="00DD3C2B"/>
    <w:rsid w:val="00E96617"/>
    <w:rsid w:val="00E96BD9"/>
    <w:rsid w:val="00EA7F78"/>
    <w:rsid w:val="00F53B1D"/>
    <w:rsid w:val="00F842FB"/>
    <w:rsid w:val="00FA78EF"/>
    <w:rsid w:val="00FC0657"/>
    <w:rsid w:val="00FE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F2C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56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E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4141">
      <w:bodyDiv w:val="1"/>
      <w:marLeft w:val="0"/>
      <w:marRight w:val="0"/>
      <w:marTop w:val="0"/>
      <w:marBottom w:val="0"/>
      <w:divBdr>
        <w:top w:val="none" w:sz="0" w:space="0" w:color="auto"/>
        <w:left w:val="none" w:sz="0" w:space="0" w:color="auto"/>
        <w:bottom w:val="none" w:sz="0" w:space="0" w:color="auto"/>
        <w:right w:val="none" w:sz="0" w:space="0" w:color="auto"/>
      </w:divBdr>
    </w:div>
    <w:div w:id="799691379">
      <w:bodyDiv w:val="1"/>
      <w:marLeft w:val="0"/>
      <w:marRight w:val="0"/>
      <w:marTop w:val="0"/>
      <w:marBottom w:val="0"/>
      <w:divBdr>
        <w:top w:val="none" w:sz="0" w:space="0" w:color="auto"/>
        <w:left w:val="none" w:sz="0" w:space="0" w:color="auto"/>
        <w:bottom w:val="none" w:sz="0" w:space="0" w:color="auto"/>
        <w:right w:val="none" w:sz="0" w:space="0" w:color="auto"/>
      </w:divBdr>
    </w:div>
    <w:div w:id="844173530">
      <w:bodyDiv w:val="1"/>
      <w:marLeft w:val="0"/>
      <w:marRight w:val="0"/>
      <w:marTop w:val="0"/>
      <w:marBottom w:val="0"/>
      <w:divBdr>
        <w:top w:val="none" w:sz="0" w:space="0" w:color="auto"/>
        <w:left w:val="none" w:sz="0" w:space="0" w:color="auto"/>
        <w:bottom w:val="none" w:sz="0" w:space="0" w:color="auto"/>
        <w:right w:val="none" w:sz="0" w:space="0" w:color="auto"/>
      </w:divBdr>
    </w:div>
    <w:div w:id="1423646218">
      <w:bodyDiv w:val="1"/>
      <w:marLeft w:val="0"/>
      <w:marRight w:val="0"/>
      <w:marTop w:val="0"/>
      <w:marBottom w:val="0"/>
      <w:divBdr>
        <w:top w:val="none" w:sz="0" w:space="0" w:color="auto"/>
        <w:left w:val="none" w:sz="0" w:space="0" w:color="auto"/>
        <w:bottom w:val="none" w:sz="0" w:space="0" w:color="auto"/>
        <w:right w:val="none" w:sz="0" w:space="0" w:color="auto"/>
      </w:divBdr>
    </w:div>
    <w:div w:id="1426461125">
      <w:bodyDiv w:val="1"/>
      <w:marLeft w:val="0"/>
      <w:marRight w:val="0"/>
      <w:marTop w:val="0"/>
      <w:marBottom w:val="0"/>
      <w:divBdr>
        <w:top w:val="none" w:sz="0" w:space="0" w:color="auto"/>
        <w:left w:val="none" w:sz="0" w:space="0" w:color="auto"/>
        <w:bottom w:val="none" w:sz="0" w:space="0" w:color="auto"/>
        <w:right w:val="none" w:sz="0" w:space="0" w:color="auto"/>
      </w:divBdr>
    </w:div>
    <w:div w:id="1698118013">
      <w:bodyDiv w:val="1"/>
      <w:marLeft w:val="0"/>
      <w:marRight w:val="0"/>
      <w:marTop w:val="0"/>
      <w:marBottom w:val="0"/>
      <w:divBdr>
        <w:top w:val="none" w:sz="0" w:space="0" w:color="auto"/>
        <w:left w:val="none" w:sz="0" w:space="0" w:color="auto"/>
        <w:bottom w:val="none" w:sz="0" w:space="0" w:color="auto"/>
        <w:right w:val="none" w:sz="0" w:space="0" w:color="auto"/>
      </w:divBdr>
    </w:div>
    <w:div w:id="1946184082">
      <w:bodyDiv w:val="1"/>
      <w:marLeft w:val="0"/>
      <w:marRight w:val="0"/>
      <w:marTop w:val="0"/>
      <w:marBottom w:val="0"/>
      <w:divBdr>
        <w:top w:val="none" w:sz="0" w:space="0" w:color="auto"/>
        <w:left w:val="none" w:sz="0" w:space="0" w:color="auto"/>
        <w:bottom w:val="none" w:sz="0" w:space="0" w:color="auto"/>
        <w:right w:val="none" w:sz="0" w:space="0" w:color="auto"/>
      </w:divBdr>
    </w:div>
    <w:div w:id="1983608674">
      <w:bodyDiv w:val="1"/>
      <w:marLeft w:val="0"/>
      <w:marRight w:val="0"/>
      <w:marTop w:val="0"/>
      <w:marBottom w:val="0"/>
      <w:divBdr>
        <w:top w:val="none" w:sz="0" w:space="0" w:color="auto"/>
        <w:left w:val="none" w:sz="0" w:space="0" w:color="auto"/>
        <w:bottom w:val="none" w:sz="0" w:space="0" w:color="auto"/>
        <w:right w:val="none" w:sz="0" w:space="0" w:color="auto"/>
      </w:divBdr>
    </w:div>
    <w:div w:id="2141916267">
      <w:bodyDiv w:val="1"/>
      <w:marLeft w:val="0"/>
      <w:marRight w:val="0"/>
      <w:marTop w:val="0"/>
      <w:marBottom w:val="0"/>
      <w:divBdr>
        <w:top w:val="none" w:sz="0" w:space="0" w:color="auto"/>
        <w:left w:val="none" w:sz="0" w:space="0" w:color="auto"/>
        <w:bottom w:val="none" w:sz="0" w:space="0" w:color="auto"/>
        <w:right w:val="none" w:sz="0" w:space="0" w:color="auto"/>
      </w:divBdr>
    </w:div>
    <w:div w:id="214253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Sheet1!$G$5</c:f>
              <c:strCache>
                <c:ptCount val="1"/>
                <c:pt idx="0">
                  <c:v>2016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Sheet1!$F$6:$F$12</c:f>
              <c:strCache>
                <c:ptCount val="7"/>
                <c:pt idx="0">
                  <c:v>Agriculture</c:v>
                </c:pt>
                <c:pt idx="1">
                  <c:v>Defence</c:v>
                </c:pt>
                <c:pt idx="2">
                  <c:v>Education</c:v>
                </c:pt>
                <c:pt idx="3">
                  <c:v>Healthcare</c:v>
                </c:pt>
                <c:pt idx="4">
                  <c:v>Solid Minerals</c:v>
                </c:pt>
                <c:pt idx="5">
                  <c:v>Transportation</c:v>
                </c:pt>
                <c:pt idx="6">
                  <c:v>Works, Power and Housing</c:v>
                </c:pt>
              </c:strCache>
            </c:strRef>
          </c:cat>
          <c:val>
            <c:numRef>
              <c:f>Sheet1!$G$6:$G$12</c:f>
              <c:numCache>
                <c:formatCode>General</c:formatCode>
                <c:ptCount val="7"/>
                <c:pt idx="0">
                  <c:v>46.2</c:v>
                </c:pt>
                <c:pt idx="1">
                  <c:v>130.9</c:v>
                </c:pt>
                <c:pt idx="2">
                  <c:v>35.4</c:v>
                </c:pt>
                <c:pt idx="3">
                  <c:v>28.7</c:v>
                </c:pt>
                <c:pt idx="4">
                  <c:v>7.3</c:v>
                </c:pt>
                <c:pt idx="5">
                  <c:v>188.7</c:v>
                </c:pt>
                <c:pt idx="6">
                  <c:v>423.0</c:v>
                </c:pt>
              </c:numCache>
            </c:numRef>
          </c:val>
        </c:ser>
        <c:ser>
          <c:idx val="1"/>
          <c:order val="1"/>
          <c:tx>
            <c:strRef>
              <c:f>Sheet1!$H$5</c:f>
              <c:strCache>
                <c:ptCount val="1"/>
                <c:pt idx="0">
                  <c:v>2015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Sheet1!$F$6:$F$12</c:f>
              <c:strCache>
                <c:ptCount val="7"/>
                <c:pt idx="0">
                  <c:v>Agriculture</c:v>
                </c:pt>
                <c:pt idx="1">
                  <c:v>Defence</c:v>
                </c:pt>
                <c:pt idx="2">
                  <c:v>Education</c:v>
                </c:pt>
                <c:pt idx="3">
                  <c:v>Healthcare</c:v>
                </c:pt>
                <c:pt idx="4">
                  <c:v>Solid Minerals</c:v>
                </c:pt>
                <c:pt idx="5">
                  <c:v>Transportation</c:v>
                </c:pt>
                <c:pt idx="6">
                  <c:v>Works, Power and Housing</c:v>
                </c:pt>
              </c:strCache>
            </c:strRef>
          </c:cat>
          <c:val>
            <c:numRef>
              <c:f>Sheet1!$H$6:$H$12</c:f>
              <c:numCache>
                <c:formatCode>General</c:formatCode>
                <c:ptCount val="7"/>
                <c:pt idx="0">
                  <c:v>8.8</c:v>
                </c:pt>
                <c:pt idx="1">
                  <c:v>36.7</c:v>
                </c:pt>
                <c:pt idx="2">
                  <c:v>23.5</c:v>
                </c:pt>
                <c:pt idx="3">
                  <c:v>22.7</c:v>
                </c:pt>
                <c:pt idx="4">
                  <c:v>1.0</c:v>
                </c:pt>
                <c:pt idx="5">
                  <c:v>14.1</c:v>
                </c:pt>
                <c:pt idx="6">
                  <c:v>26.6</c:v>
                </c:pt>
              </c:numCache>
            </c:numRef>
          </c:val>
        </c:ser>
        <c:ser>
          <c:idx val="2"/>
          <c:order val="2"/>
          <c:tx>
            <c:strRef>
              <c:f>Sheet1!$I$5</c:f>
              <c:strCache>
                <c:ptCount val="1"/>
                <c:pt idx="0">
                  <c:v>% Growth</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Sheet1!$F$6:$F$12</c:f>
              <c:strCache>
                <c:ptCount val="7"/>
                <c:pt idx="0">
                  <c:v>Agriculture</c:v>
                </c:pt>
                <c:pt idx="1">
                  <c:v>Defence</c:v>
                </c:pt>
                <c:pt idx="2">
                  <c:v>Education</c:v>
                </c:pt>
                <c:pt idx="3">
                  <c:v>Healthcare</c:v>
                </c:pt>
                <c:pt idx="4">
                  <c:v>Solid Minerals</c:v>
                </c:pt>
                <c:pt idx="5">
                  <c:v>Transportation</c:v>
                </c:pt>
                <c:pt idx="6">
                  <c:v>Works, Power and Housing</c:v>
                </c:pt>
              </c:strCache>
            </c:strRef>
          </c:cat>
          <c:val>
            <c:numRef>
              <c:f>Sheet1!$I$6:$I$12</c:f>
              <c:numCache>
                <c:formatCode>General</c:formatCode>
                <c:ptCount val="7"/>
                <c:pt idx="0">
                  <c:v>425.0</c:v>
                </c:pt>
                <c:pt idx="1">
                  <c:v>257.0</c:v>
                </c:pt>
                <c:pt idx="2">
                  <c:v>51.0</c:v>
                </c:pt>
                <c:pt idx="3">
                  <c:v>26.0</c:v>
                </c:pt>
                <c:pt idx="4">
                  <c:v>630.0</c:v>
                </c:pt>
                <c:pt idx="5">
                  <c:v>1238.0</c:v>
                </c:pt>
                <c:pt idx="6">
                  <c:v>1490.0</c:v>
                </c:pt>
              </c:numCache>
            </c:numRef>
          </c:val>
        </c:ser>
        <c:dLbls>
          <c:showLegendKey val="0"/>
          <c:showVal val="0"/>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809127936"/>
        <c:axId val="1809317360"/>
      </c:barChart>
      <c:catAx>
        <c:axId val="18091279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317360"/>
        <c:crosses val="autoZero"/>
        <c:auto val="1"/>
        <c:lblAlgn val="ctr"/>
        <c:lblOffset val="100"/>
        <c:noMultiLvlLbl val="0"/>
      </c:catAx>
      <c:valAx>
        <c:axId val="1809317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12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Pou17</b:Tag>
    <b:SourceType>InternetSite</b:SourceType>
    <b:Guid>{F2841713-AB36-D041-9A6E-CF8AA21342C9}</b:Guid>
    <b:Title>best-exchange-rates</b:Title>
    <b:Year>2017</b:Year>
    <b:Author>
      <b:Author>
        <b:Corporate>PoundSterling Live</b:Corporate>
      </b:Author>
    </b:Author>
    <b:InternetSiteTitle>https://www.poundsterlinglive.com/</b:InternetSiteTitle>
    <b:URL>https://www.poundsterlinglive.com/best-exchange-rates/</b:URL>
    <b:Month>January</b:Month>
    <b:Day>12</b:Day>
    <b:RefOrder>1</b:RefOrder>
  </b:Source>
</b:Sources>
</file>

<file path=customXml/itemProps1.xml><?xml version="1.0" encoding="utf-8"?>
<ds:datastoreItem xmlns:ds="http://schemas.openxmlformats.org/officeDocument/2006/customXml" ds:itemID="{69DEE272-1E52-4342-A8AE-29743E0F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2017-07-05T07:20:00Z</dcterms:created>
  <dcterms:modified xsi:type="dcterms:W3CDTF">2017-07-05T20:03:00Z</dcterms:modified>
</cp:coreProperties>
</file>